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Sea Wolf Adventures</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Ditch</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Tuesday, January 16, 2024 12:19:21</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59970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pStyle w:val="BodyText"/>
        <w:spacing w:line="273" w:lineRule="exact" w:before="124"/>
        <w:ind w:right="0"/>
        <w:jc w:val="left"/>
      </w:pPr>
      <w:r>
        <w:rPr/>
        <w:t>I also have to agree with Whitney.</w:t>
      </w:r>
    </w:p>
    <w:p>
      <w:pPr>
        <w:pStyle w:val="BodyText"/>
        <w:spacing w:line="270" w:lineRule="exact"/>
        <w:ind w:right="0"/>
        <w:jc w:val="left"/>
      </w:pPr>
      <w:r>
        <w:rPr/>
        <w:t>This sounds like a pretty haphazard "plan".</w:t>
      </w:r>
    </w:p>
    <w:p>
      <w:pPr>
        <w:pStyle w:val="BodyText"/>
        <w:spacing w:line="270" w:lineRule="exact" w:before="5"/>
        <w:ind w:right="216"/>
        <w:jc w:val="left"/>
      </w:pPr>
      <w:r>
        <w:rPr/>
        <w:t>As much as I've wanted ditches cleared out, I am not in favor of diverting larger concentrations of PFAS from the airport area down Glens Ditch, which is exactly what this will do.</w:t>
      </w:r>
    </w:p>
    <w:p>
      <w:pPr>
        <w:pStyle w:val="BodyText"/>
        <w:spacing w:line="270" w:lineRule="exact"/>
        <w:ind w:right="92"/>
        <w:jc w:val="left"/>
      </w:pPr>
      <w:r>
        <w:rPr/>
        <w:t>At this time, I believe monitoring levels are not too bad in this ditch and since we already have a toxic disposal area to the East of the airport, that's where any contaminated material should go.</w:t>
      </w:r>
    </w:p>
    <w:p>
      <w:pPr>
        <w:pStyle w:val="BodyText"/>
        <w:spacing w:line="270" w:lineRule="exact"/>
        <w:ind w:right="216"/>
        <w:jc w:val="left"/>
      </w:pPr>
      <w:r>
        <w:rPr/>
        <w:t>As well, I believe that's the direction any drainage plan should go since the big drainage ditch is already there, and already draining the airport runoff.</w:t>
      </w:r>
    </w:p>
    <w:p>
      <w:pPr>
        <w:pStyle w:val="BodyText"/>
        <w:spacing w:line="270" w:lineRule="exact"/>
        <w:ind w:right="216"/>
        <w:jc w:val="left"/>
      </w:pPr>
      <w:r>
        <w:rPr/>
        <w:t>Spreading PFAS into a new neighborhood with many houses and wells right on or close to Glen's Ditch is negligent and shortsighted. It will also be polluting another area of the beach which is now a highly used recreation and Berry picking area.</w:t>
      </w:r>
    </w:p>
    <w:p>
      <w:pPr>
        <w:pStyle w:val="BodyText"/>
        <w:spacing w:line="270" w:lineRule="exact"/>
        <w:ind w:right="216"/>
        <w:jc w:val="left"/>
      </w:pPr>
      <w:r>
        <w:rPr/>
        <w:t>I think we need to be very mindful and cautious before  potentially making a bad situation worse.</w:t>
      </w:r>
    </w:p>
    <w:p>
      <w:pPr>
        <w:spacing w:line="240" w:lineRule="auto" w:before="0"/>
        <w:rPr>
          <w:rFonts w:ascii="Times New Roman" w:hAnsi="Times New Roman" w:cs="Times New Roman" w:eastAsia="Times New Roman"/>
          <w:sz w:val="24"/>
          <w:szCs w:val="24"/>
        </w:rPr>
      </w:pPr>
    </w:p>
    <w:p>
      <w:pPr>
        <w:spacing w:line="240" w:lineRule="auto" w:before="3"/>
        <w:rPr>
          <w:rFonts w:ascii="Times New Roman" w:hAnsi="Times New Roman" w:cs="Times New Roman" w:eastAsia="Times New Roman"/>
          <w:sz w:val="22"/>
          <w:szCs w:val="22"/>
        </w:rPr>
      </w:pPr>
    </w:p>
    <w:p>
      <w:pPr>
        <w:pStyle w:val="BodyText"/>
        <w:spacing w:line="240" w:lineRule="auto"/>
        <w:ind w:right="0"/>
        <w:jc w:val="left"/>
      </w:pPr>
      <w:r>
        <w:rPr/>
        <w:t>Kimber Owen</w:t>
      </w:r>
    </w:p>
    <w:sectPr>
      <w:type w:val="continuous"/>
      <w:pgSz w:w="12240" w:h="15840"/>
      <w:pgMar w:top="1180" w:bottom="280" w:left="14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2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eawolfoffice@gmail.com" TargetMode="External"/><Relationship Id="rId6" Type="http://schemas.openxmlformats.org/officeDocument/2006/relationships/hyperlink" Target="mailto:liesl.barker@gustavus-a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2024-01-16T14:47:38Z</dcterms:created>
  <dcterms:modified xsi:type="dcterms:W3CDTF">2024-01-16T14:47:38Z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2024-01-16T00:00:00Z</vt:filetime>
  </property>
</Properties>
</file>